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C751AB">
        <w:rPr>
          <w:rFonts w:eastAsia="宋体" w:hint="eastAsia"/>
          <w:lang w:eastAsia="zh-CN"/>
        </w:rPr>
        <w:t xml:space="preserve">3   </w:t>
      </w:r>
      <w:r>
        <w:rPr>
          <w:rFonts w:eastAsia="宋体" w:hint="eastAsia"/>
          <w:lang w:eastAsia="zh-CN"/>
        </w:rPr>
        <w:t xml:space="preserve">                                         </w:t>
      </w:r>
      <w:r>
        <w:t>R4-1</w:t>
      </w:r>
      <w:r w:rsidR="00297965">
        <w:rPr>
          <w:rFonts w:eastAsia="宋体" w:hint="eastAsia"/>
          <w:lang w:eastAsia="zh-CN"/>
        </w:rPr>
        <w:t>9</w:t>
      </w:r>
      <w:r w:rsidR="00F705C7">
        <w:rPr>
          <w:rFonts w:eastAsia="宋体" w:hint="eastAsia"/>
          <w:lang w:eastAsia="zh-CN"/>
        </w:rPr>
        <w:t>13335</w:t>
      </w:r>
    </w:p>
    <w:p w:rsidR="003F6833" w:rsidRPr="00B743BF" w:rsidRDefault="00C751AB" w:rsidP="003F6833">
      <w:pPr>
        <w:tabs>
          <w:tab w:val="left" w:pos="1985"/>
        </w:tabs>
        <w:spacing w:after="100" w:afterAutospacing="1"/>
        <w:rPr>
          <w:rFonts w:eastAsia="宋体"/>
          <w:noProof/>
          <w:sz w:val="24"/>
        </w:rPr>
      </w:pPr>
      <w:r>
        <w:rPr>
          <w:rFonts w:hint="eastAsia"/>
          <w:b/>
          <w:noProof/>
          <w:sz w:val="24"/>
        </w:rPr>
        <w:t>Reno</w:t>
      </w:r>
      <w:r w:rsidR="00F82735">
        <w:rPr>
          <w:rFonts w:hint="eastAsia"/>
          <w:b/>
          <w:noProof/>
          <w:sz w:val="24"/>
        </w:rPr>
        <w:t>,</w:t>
      </w:r>
      <w:r>
        <w:rPr>
          <w:rFonts w:hint="eastAsia"/>
          <w:b/>
          <w:noProof/>
          <w:sz w:val="24"/>
        </w:rPr>
        <w:t>USA</w:t>
      </w:r>
      <w:r w:rsidR="00C82F63">
        <w:rPr>
          <w:b/>
          <w:noProof/>
          <w:sz w:val="24"/>
        </w:rPr>
        <w:t xml:space="preserve">, </w:t>
      </w:r>
      <w:r>
        <w:rPr>
          <w:rFonts w:hint="eastAsia"/>
          <w:b/>
          <w:noProof/>
          <w:sz w:val="24"/>
        </w:rPr>
        <w:t>18</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22</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Nov</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C751AB">
        <w:rPr>
          <w:rFonts w:ascii="Arial" w:eastAsia="宋体" w:hAnsi="Arial" w:cs="Arial" w:hint="eastAsia"/>
          <w:b/>
          <w:noProof/>
          <w:kern w:val="0"/>
          <w:sz w:val="22"/>
          <w:szCs w:val="22"/>
          <w:lang w:val="en-GB"/>
        </w:rPr>
        <w:t>9.5.3</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C751AB">
        <w:rPr>
          <w:rFonts w:ascii="Arial" w:eastAsia="宋体" w:hAnsi="Arial" w:cs="Arial" w:hint="eastAsia"/>
          <w:b/>
          <w:noProof/>
          <w:kern w:val="0"/>
          <w:sz w:val="22"/>
          <w:lang w:val="en-GB"/>
        </w:rPr>
        <w:t>Further discussion on IAB system parameters</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6A4700" w:rsidRDefault="00C91BE1" w:rsidP="001455C3">
      <w:pPr>
        <w:rPr>
          <w:szCs w:val="21"/>
        </w:rPr>
      </w:pPr>
      <w:r>
        <w:rPr>
          <w:rFonts w:hint="eastAsia"/>
          <w:szCs w:val="21"/>
        </w:rPr>
        <w:t>WF</w:t>
      </w:r>
      <w:r w:rsidR="00D55643">
        <w:rPr>
          <w:rFonts w:hint="eastAsia"/>
          <w:szCs w:val="21"/>
        </w:rPr>
        <w:t xml:space="preserve"> in [1]</w:t>
      </w:r>
      <w:r>
        <w:rPr>
          <w:rFonts w:hint="eastAsia"/>
          <w:szCs w:val="21"/>
        </w:rPr>
        <w:t xml:space="preserve"> agreed for IAB system parameter</w:t>
      </w:r>
      <w:r w:rsidR="006A4700">
        <w:rPr>
          <w:rFonts w:hint="eastAsia"/>
          <w:szCs w:val="21"/>
        </w:rPr>
        <w:t>s</w:t>
      </w:r>
      <w:r>
        <w:rPr>
          <w:rFonts w:hint="eastAsia"/>
          <w:szCs w:val="21"/>
        </w:rPr>
        <w:t xml:space="preserve"> in Oct RAN4#92bis meeting</w:t>
      </w:r>
      <w:r w:rsidR="006A4700">
        <w:rPr>
          <w:rFonts w:hint="eastAsia"/>
          <w:szCs w:val="21"/>
        </w:rPr>
        <w:t xml:space="preserve"> can be summarized as below:</w:t>
      </w:r>
    </w:p>
    <w:p w:rsidR="006A4700" w:rsidRPr="00C91BE1" w:rsidRDefault="006A4700" w:rsidP="006A4700">
      <w:pPr>
        <w:numPr>
          <w:ilvl w:val="1"/>
          <w:numId w:val="32"/>
        </w:numPr>
        <w:rPr>
          <w:szCs w:val="21"/>
        </w:rPr>
      </w:pPr>
      <w:r w:rsidRPr="00C91BE1">
        <w:rPr>
          <w:szCs w:val="21"/>
        </w:rPr>
        <w:t>Operating band : capture explicitly in IAB spec</w:t>
      </w:r>
      <w:r w:rsidR="002E2FCA">
        <w:rPr>
          <w:rFonts w:hint="eastAsia"/>
          <w:szCs w:val="21"/>
        </w:rPr>
        <w:t xml:space="preserve"> for those bands agreed in previous RAN4 meetings</w:t>
      </w:r>
    </w:p>
    <w:p w:rsidR="006A4700" w:rsidRPr="00C91BE1" w:rsidRDefault="006A4700" w:rsidP="006A4700">
      <w:pPr>
        <w:numPr>
          <w:ilvl w:val="1"/>
          <w:numId w:val="32"/>
        </w:numPr>
        <w:rPr>
          <w:szCs w:val="21"/>
        </w:rPr>
      </w:pPr>
      <w:r w:rsidRPr="00C91BE1">
        <w:rPr>
          <w:szCs w:val="21"/>
        </w:rPr>
        <w:t>Frequency range, Spectrum utilization and channel arrangement</w:t>
      </w:r>
    </w:p>
    <w:p w:rsidR="006A4700" w:rsidRPr="00C91BE1" w:rsidRDefault="006A4700" w:rsidP="006A4700">
      <w:pPr>
        <w:numPr>
          <w:ilvl w:val="2"/>
          <w:numId w:val="32"/>
        </w:numPr>
        <w:rPr>
          <w:szCs w:val="21"/>
        </w:rPr>
      </w:pPr>
      <w:r w:rsidRPr="00C91BE1">
        <w:rPr>
          <w:szCs w:val="21"/>
        </w:rPr>
        <w:t xml:space="preserve">Related definitions in TS38.104 shall be applied for IAB </w:t>
      </w:r>
    </w:p>
    <w:p w:rsidR="006A4700" w:rsidRDefault="006A4700" w:rsidP="006A4700">
      <w:pPr>
        <w:numPr>
          <w:ilvl w:val="2"/>
          <w:numId w:val="32"/>
        </w:numPr>
        <w:rPr>
          <w:szCs w:val="21"/>
        </w:rPr>
      </w:pPr>
      <w:r w:rsidRPr="00C91BE1">
        <w:rPr>
          <w:szCs w:val="21"/>
        </w:rPr>
        <w:t xml:space="preserve">FFS on how to incorporate this in IAB </w:t>
      </w:r>
      <w:proofErr w:type="gramStart"/>
      <w:r w:rsidRPr="00C91BE1">
        <w:rPr>
          <w:szCs w:val="21"/>
        </w:rPr>
        <w:t>spec,</w:t>
      </w:r>
      <w:proofErr w:type="gramEnd"/>
      <w:r w:rsidRPr="00C91BE1">
        <w:rPr>
          <w:szCs w:val="21"/>
        </w:rPr>
        <w:t xml:space="preserve"> i.e. refer to TS38.104 or copy corresponding definition accordingly. </w:t>
      </w:r>
    </w:p>
    <w:p w:rsidR="006A4700" w:rsidRPr="00C91BE1" w:rsidRDefault="006A4700" w:rsidP="006A4700">
      <w:pPr>
        <w:numPr>
          <w:ilvl w:val="1"/>
          <w:numId w:val="32"/>
        </w:numPr>
        <w:rPr>
          <w:szCs w:val="21"/>
        </w:rPr>
      </w:pPr>
      <w:r w:rsidRPr="00C91BE1">
        <w:rPr>
          <w:szCs w:val="21"/>
        </w:rPr>
        <w:t>RB alignment</w:t>
      </w:r>
    </w:p>
    <w:p w:rsidR="006A4700" w:rsidRPr="00C91BE1" w:rsidRDefault="006A4700" w:rsidP="006A4700">
      <w:pPr>
        <w:numPr>
          <w:ilvl w:val="2"/>
          <w:numId w:val="32"/>
        </w:numPr>
        <w:rPr>
          <w:szCs w:val="21"/>
        </w:rPr>
      </w:pPr>
      <w:r w:rsidRPr="00C91BE1">
        <w:rPr>
          <w:szCs w:val="21"/>
        </w:rPr>
        <w:t>Definition in TS38.101-1/2 shall be applied to IAB-MT and Definition in TS38. 104 shall be applied to IAB-DU</w:t>
      </w:r>
    </w:p>
    <w:p w:rsidR="006A4700" w:rsidRDefault="006A4700" w:rsidP="006A4700">
      <w:pPr>
        <w:numPr>
          <w:ilvl w:val="2"/>
          <w:numId w:val="32"/>
        </w:numPr>
        <w:rPr>
          <w:szCs w:val="21"/>
        </w:rPr>
      </w:pPr>
      <w:r w:rsidRPr="00C91BE1">
        <w:rPr>
          <w:szCs w:val="21"/>
        </w:rPr>
        <w:t>FFS on how to incorporate this in IAB spec, i.e. refer to UE /BS spec  or copy corresponding definition accordingly</w:t>
      </w:r>
    </w:p>
    <w:p w:rsidR="006A4700" w:rsidRPr="00C91BE1" w:rsidRDefault="006A4700" w:rsidP="006A4700">
      <w:pPr>
        <w:numPr>
          <w:ilvl w:val="1"/>
          <w:numId w:val="32"/>
        </w:numPr>
        <w:rPr>
          <w:szCs w:val="21"/>
        </w:rPr>
      </w:pPr>
      <w:r w:rsidRPr="00C91BE1">
        <w:rPr>
          <w:szCs w:val="21"/>
        </w:rPr>
        <w:t xml:space="preserve">Band specific channel bandwidth </w:t>
      </w:r>
    </w:p>
    <w:p w:rsidR="006A4700" w:rsidRPr="00C91BE1" w:rsidRDefault="006A4700" w:rsidP="006A4700">
      <w:pPr>
        <w:numPr>
          <w:ilvl w:val="2"/>
          <w:numId w:val="32"/>
        </w:numPr>
        <w:rPr>
          <w:szCs w:val="21"/>
        </w:rPr>
      </w:pPr>
      <w:r w:rsidRPr="00C91BE1">
        <w:rPr>
          <w:szCs w:val="21"/>
        </w:rPr>
        <w:t xml:space="preserve">IAB DU will declare the channel supporting band specific channel bandwidth. </w:t>
      </w:r>
    </w:p>
    <w:p w:rsidR="006A4700" w:rsidRDefault="002E2FCA" w:rsidP="006A4700">
      <w:pPr>
        <w:numPr>
          <w:ilvl w:val="2"/>
          <w:numId w:val="32"/>
        </w:numPr>
        <w:rPr>
          <w:szCs w:val="21"/>
        </w:rPr>
      </w:pPr>
      <w:r>
        <w:rPr>
          <w:szCs w:val="21"/>
        </w:rPr>
        <w:t xml:space="preserve">FFS on IAB MT </w:t>
      </w:r>
      <w:r w:rsidR="006A4700" w:rsidRPr="00C91BE1">
        <w:rPr>
          <w:szCs w:val="21"/>
        </w:rPr>
        <w:t xml:space="preserve">with 3 options </w:t>
      </w:r>
    </w:p>
    <w:p w:rsidR="004A6CB8" w:rsidRPr="006A4700" w:rsidRDefault="002E2FCA" w:rsidP="001455C3">
      <w:pPr>
        <w:rPr>
          <w:szCs w:val="21"/>
        </w:rPr>
      </w:pPr>
      <w:r>
        <w:rPr>
          <w:rFonts w:hint="eastAsia"/>
          <w:szCs w:val="21"/>
        </w:rPr>
        <w:t xml:space="preserve">This contribution </w:t>
      </w:r>
      <w:r w:rsidR="00D55643">
        <w:rPr>
          <w:rFonts w:hint="eastAsia"/>
          <w:szCs w:val="21"/>
        </w:rPr>
        <w:t xml:space="preserve">discusses this aspect further with TPs provided in companion </w:t>
      </w:r>
      <w:proofErr w:type="gramStart"/>
      <w:r w:rsidR="00D55643">
        <w:rPr>
          <w:rFonts w:hint="eastAsia"/>
          <w:szCs w:val="21"/>
        </w:rPr>
        <w:t>paper[</w:t>
      </w:r>
      <w:proofErr w:type="gramEnd"/>
      <w:r w:rsidR="00D55643">
        <w:rPr>
          <w:rFonts w:hint="eastAsia"/>
          <w:szCs w:val="21"/>
        </w:rPr>
        <w:t xml:space="preserve">2] [3]. </w:t>
      </w:r>
    </w:p>
    <w:p w:rsidR="002A5A60" w:rsidRDefault="00B74F5D" w:rsidP="002A5A60">
      <w:pPr>
        <w:pStyle w:val="Heading1"/>
        <w:rPr>
          <w:rFonts w:cs="Arial"/>
          <w:lang w:eastAsia="zh-CN"/>
        </w:rPr>
      </w:pPr>
      <w:r>
        <w:rPr>
          <w:rFonts w:cs="Arial" w:hint="eastAsia"/>
          <w:lang w:eastAsia="zh-CN"/>
        </w:rPr>
        <w:t>Discussion</w:t>
      </w:r>
    </w:p>
    <w:p w:rsidR="00B321CE" w:rsidRDefault="003F0B61" w:rsidP="00BE15F5">
      <w:pPr>
        <w:rPr>
          <w:szCs w:val="21"/>
        </w:rPr>
      </w:pPr>
      <w:r>
        <w:rPr>
          <w:rFonts w:hint="eastAsia"/>
          <w:szCs w:val="21"/>
        </w:rPr>
        <w:t xml:space="preserve">For operating band it is common understanding to </w:t>
      </w:r>
      <w:r w:rsidR="003730E8">
        <w:rPr>
          <w:szCs w:val="21"/>
        </w:rPr>
        <w:t>incorporate</w:t>
      </w:r>
      <w:r>
        <w:rPr>
          <w:rFonts w:hint="eastAsia"/>
          <w:szCs w:val="21"/>
        </w:rPr>
        <w:t xml:space="preserve"> </w:t>
      </w:r>
      <w:r w:rsidR="00B321CE">
        <w:rPr>
          <w:rFonts w:hint="eastAsia"/>
          <w:szCs w:val="21"/>
        </w:rPr>
        <w:t xml:space="preserve">all Rel-15 FR2 band and band n41 and n79 as operating request for FR1. No need for further discussion on this aspect. We will share the consideration on </w:t>
      </w:r>
      <w:r w:rsidR="008C3BAE">
        <w:rPr>
          <w:rFonts w:hint="eastAsia"/>
          <w:szCs w:val="21"/>
        </w:rPr>
        <w:t xml:space="preserve">remaining issues in the </w:t>
      </w:r>
      <w:r w:rsidR="00B321CE">
        <w:rPr>
          <w:rFonts w:hint="eastAsia"/>
          <w:szCs w:val="21"/>
        </w:rPr>
        <w:t xml:space="preserve">other three </w:t>
      </w:r>
      <w:r w:rsidR="008C3BAE">
        <w:rPr>
          <w:rFonts w:hint="eastAsia"/>
          <w:szCs w:val="21"/>
        </w:rPr>
        <w:t>slides.</w:t>
      </w:r>
    </w:p>
    <w:p w:rsidR="008C3BAE" w:rsidRDefault="008C3BAE" w:rsidP="00BE15F5">
      <w:pPr>
        <w:rPr>
          <w:szCs w:val="21"/>
        </w:rPr>
      </w:pPr>
    </w:p>
    <w:p w:rsidR="008C3BAE" w:rsidRPr="008C3BAE" w:rsidRDefault="008C3BAE" w:rsidP="008C3BAE">
      <w:pPr>
        <w:rPr>
          <w:b/>
          <w:szCs w:val="21"/>
        </w:rPr>
      </w:pPr>
      <w:r w:rsidRPr="008C3BAE">
        <w:rPr>
          <w:b/>
          <w:szCs w:val="21"/>
        </w:rPr>
        <w:t>Frequency range, Spectrum utilization and channel arrangement</w:t>
      </w:r>
    </w:p>
    <w:p w:rsidR="00B321CE" w:rsidRDefault="00B321CE" w:rsidP="00B321CE">
      <w:pPr>
        <w:jc w:val="center"/>
        <w:rPr>
          <w:szCs w:val="21"/>
        </w:rPr>
      </w:pPr>
      <w:r>
        <w:rPr>
          <w:noProof/>
        </w:rPr>
        <w:drawing>
          <wp:inline distT="0" distB="0" distL="0" distR="0" wp14:anchorId="3ABC1621" wp14:editId="1672D3F1">
            <wp:extent cx="2830010" cy="1972818"/>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30010" cy="1972818"/>
                    </a:xfrm>
                    <a:prstGeom prst="rect">
                      <a:avLst/>
                    </a:prstGeom>
                  </pic:spPr>
                </pic:pic>
              </a:graphicData>
            </a:graphic>
          </wp:inline>
        </w:drawing>
      </w:r>
    </w:p>
    <w:p w:rsidR="00E5014D" w:rsidRDefault="00E5014D" w:rsidP="00E5014D">
      <w:pPr>
        <w:rPr>
          <w:szCs w:val="21"/>
        </w:rPr>
      </w:pPr>
    </w:p>
    <w:p w:rsidR="00B321CE" w:rsidRDefault="00E66C85" w:rsidP="00E17BEB">
      <w:pPr>
        <w:rPr>
          <w:szCs w:val="21"/>
        </w:rPr>
      </w:pPr>
      <w:r>
        <w:rPr>
          <w:rFonts w:hint="eastAsia"/>
          <w:szCs w:val="21"/>
        </w:rPr>
        <w:t xml:space="preserve">It should be clarified that for </w:t>
      </w:r>
      <w:r>
        <w:rPr>
          <w:szCs w:val="21"/>
        </w:rPr>
        <w:t>frequency</w:t>
      </w:r>
      <w:r>
        <w:rPr>
          <w:rFonts w:hint="eastAsia"/>
          <w:szCs w:val="21"/>
        </w:rPr>
        <w:t xml:space="preserve"> range, spectrum utilization and channel arrangement the definition in BS spec and UE spec is the same. And in BS specification it contains both FR1 and FR2 related system parameters. But in UE specification the FR1 specific </w:t>
      </w:r>
      <w:r>
        <w:rPr>
          <w:szCs w:val="21"/>
        </w:rPr>
        <w:t>requirement</w:t>
      </w:r>
      <w:r>
        <w:rPr>
          <w:rFonts w:hint="eastAsia"/>
          <w:szCs w:val="21"/>
        </w:rPr>
        <w:t xml:space="preserve"> is allocated in TS38.101-1 and FR2 specific requirement is belong to TS38.101-2. </w:t>
      </w:r>
      <w:r w:rsidR="00E17BEB">
        <w:rPr>
          <w:rFonts w:hint="eastAsia"/>
          <w:szCs w:val="21"/>
        </w:rPr>
        <w:t xml:space="preserve">Take frequency range as example, even if new frequency range introduced or further update on existing </w:t>
      </w:r>
      <w:r w:rsidR="00E17BEB">
        <w:rPr>
          <w:szCs w:val="21"/>
        </w:rPr>
        <w:t>frequency</w:t>
      </w:r>
      <w:r w:rsidR="00E17BEB">
        <w:rPr>
          <w:rFonts w:hint="eastAsia"/>
          <w:szCs w:val="21"/>
        </w:rPr>
        <w:t xml:space="preserve"> range in future release, BS specification would still hold the overall definition for those parameters. </w:t>
      </w:r>
      <w:r w:rsidR="00AC3D0F">
        <w:rPr>
          <w:rFonts w:hint="eastAsia"/>
          <w:szCs w:val="21"/>
        </w:rPr>
        <w:t>Hence r</w:t>
      </w:r>
      <w:r w:rsidR="00B321CE" w:rsidRPr="00E17BEB">
        <w:rPr>
          <w:rFonts w:hint="eastAsia"/>
          <w:szCs w:val="21"/>
        </w:rPr>
        <w:t xml:space="preserve">efer to </w:t>
      </w:r>
      <w:r w:rsidR="00AC3D0F">
        <w:rPr>
          <w:rFonts w:hint="eastAsia"/>
          <w:szCs w:val="21"/>
        </w:rPr>
        <w:t>TS38.</w:t>
      </w:r>
      <w:r w:rsidR="00B321CE" w:rsidRPr="00E17BEB">
        <w:rPr>
          <w:rFonts w:hint="eastAsia"/>
          <w:szCs w:val="21"/>
        </w:rPr>
        <w:t>104</w:t>
      </w:r>
      <w:r w:rsidR="00AC3D0F">
        <w:rPr>
          <w:rFonts w:hint="eastAsia"/>
          <w:szCs w:val="21"/>
        </w:rPr>
        <w:t xml:space="preserve"> in IAB core specification</w:t>
      </w:r>
      <w:r w:rsidR="00B321CE" w:rsidRPr="00E17BEB">
        <w:rPr>
          <w:rFonts w:hint="eastAsia"/>
          <w:szCs w:val="21"/>
        </w:rPr>
        <w:t xml:space="preserve"> can avoid unnecessary update when there is update in root spec</w:t>
      </w:r>
      <w:r w:rsidR="00E17BEB">
        <w:rPr>
          <w:rFonts w:hint="eastAsia"/>
          <w:szCs w:val="21"/>
        </w:rPr>
        <w:t xml:space="preserve">. </w:t>
      </w:r>
      <w:r w:rsidR="00AC3D0F">
        <w:rPr>
          <w:rFonts w:hint="eastAsia"/>
          <w:szCs w:val="21"/>
        </w:rPr>
        <w:t>Furthermore, it can d</w:t>
      </w:r>
      <w:r w:rsidR="00B321CE" w:rsidRPr="00E17BEB">
        <w:rPr>
          <w:rFonts w:hint="eastAsia"/>
          <w:szCs w:val="21"/>
        </w:rPr>
        <w:t>eliver the information outside 3GPP that the same criteria of NR will be applied for IAB</w:t>
      </w:r>
      <w:r w:rsidR="00AC3D0F">
        <w:rPr>
          <w:rFonts w:hint="eastAsia"/>
          <w:szCs w:val="21"/>
        </w:rPr>
        <w:t xml:space="preserve"> for those parameters</w:t>
      </w:r>
      <w:r w:rsidR="00E17BEB">
        <w:rPr>
          <w:rFonts w:hint="eastAsia"/>
          <w:szCs w:val="21"/>
        </w:rPr>
        <w:t xml:space="preserve">. </w:t>
      </w:r>
      <w:r w:rsidR="00AC3D0F">
        <w:rPr>
          <w:rFonts w:hint="eastAsia"/>
          <w:szCs w:val="21"/>
        </w:rPr>
        <w:t xml:space="preserve">The main concern for this approach is that this may </w:t>
      </w:r>
      <w:r w:rsidR="00981A13">
        <w:rPr>
          <w:rFonts w:hint="eastAsia"/>
          <w:szCs w:val="21"/>
        </w:rPr>
        <w:t>degrade</w:t>
      </w:r>
      <w:r w:rsidR="00AC3D0F">
        <w:rPr>
          <w:rFonts w:hint="eastAsia"/>
          <w:szCs w:val="21"/>
        </w:rPr>
        <w:t xml:space="preserve"> the IAB </w:t>
      </w:r>
      <w:r w:rsidR="00AC3D0F">
        <w:rPr>
          <w:szCs w:val="21"/>
        </w:rPr>
        <w:t>specification</w:t>
      </w:r>
      <w:r w:rsidR="00AC3D0F">
        <w:rPr>
          <w:rFonts w:hint="eastAsia"/>
          <w:szCs w:val="21"/>
        </w:rPr>
        <w:t xml:space="preserve"> as Non</w:t>
      </w:r>
      <w:r w:rsidR="00B321CE" w:rsidRPr="00E17BEB">
        <w:rPr>
          <w:rFonts w:hint="eastAsia"/>
          <w:szCs w:val="21"/>
        </w:rPr>
        <w:t xml:space="preserve"> independent spec</w:t>
      </w:r>
      <w:r w:rsidR="00981A13">
        <w:rPr>
          <w:rFonts w:hint="eastAsia"/>
          <w:szCs w:val="21"/>
        </w:rPr>
        <w:t>, which may bring burden in development</w:t>
      </w:r>
      <w:r w:rsidR="00B321CE" w:rsidRPr="00E17BEB">
        <w:rPr>
          <w:rFonts w:hint="eastAsia"/>
          <w:szCs w:val="21"/>
        </w:rPr>
        <w:t>. But the develop</w:t>
      </w:r>
      <w:r w:rsidR="00AC3D0F">
        <w:rPr>
          <w:rFonts w:hint="eastAsia"/>
          <w:szCs w:val="21"/>
        </w:rPr>
        <w:t>ment</w:t>
      </w:r>
      <w:r w:rsidR="00B321CE" w:rsidRPr="00E17BEB">
        <w:rPr>
          <w:rFonts w:hint="eastAsia"/>
          <w:szCs w:val="21"/>
        </w:rPr>
        <w:t xml:space="preserve"> engineer in first-line would with the experience of BS and/or UE design. There would be even simpler to refer to one fundamental spec</w:t>
      </w:r>
      <w:r w:rsidR="00AC3D0F">
        <w:rPr>
          <w:rFonts w:hint="eastAsia"/>
          <w:szCs w:val="21"/>
        </w:rPr>
        <w:t xml:space="preserve"> to </w:t>
      </w:r>
      <w:r w:rsidR="00AC3D0F">
        <w:rPr>
          <w:szCs w:val="21"/>
        </w:rPr>
        <w:t>facilitate</w:t>
      </w:r>
      <w:r w:rsidR="00AC3D0F">
        <w:rPr>
          <w:rFonts w:hint="eastAsia"/>
          <w:szCs w:val="21"/>
        </w:rPr>
        <w:t xml:space="preserve"> the real design</w:t>
      </w:r>
      <w:r w:rsidR="00B321CE" w:rsidRPr="00E17BEB">
        <w:rPr>
          <w:rFonts w:hint="eastAsia"/>
          <w:szCs w:val="21"/>
        </w:rPr>
        <w:t>.</w:t>
      </w:r>
      <w:r w:rsidR="00B321CE">
        <w:rPr>
          <w:rFonts w:hint="eastAsia"/>
          <w:szCs w:val="21"/>
        </w:rPr>
        <w:t xml:space="preserve"> </w:t>
      </w:r>
    </w:p>
    <w:p w:rsidR="0035429B" w:rsidRDefault="0035429B" w:rsidP="00E17BEB">
      <w:pPr>
        <w:rPr>
          <w:szCs w:val="21"/>
        </w:rPr>
      </w:pPr>
    </w:p>
    <w:p w:rsidR="00981A13" w:rsidRDefault="00981A13" w:rsidP="00E17BEB">
      <w:pPr>
        <w:rPr>
          <w:szCs w:val="21"/>
        </w:rPr>
      </w:pPr>
      <w:r w:rsidRPr="0035429B">
        <w:rPr>
          <w:rFonts w:hint="eastAsia"/>
          <w:b/>
          <w:szCs w:val="21"/>
        </w:rPr>
        <w:t>Proposal 1</w:t>
      </w:r>
      <w:r>
        <w:rPr>
          <w:rFonts w:hint="eastAsia"/>
          <w:szCs w:val="21"/>
        </w:rPr>
        <w:t xml:space="preserve">: </w:t>
      </w:r>
      <w:r w:rsidR="00E5014D">
        <w:rPr>
          <w:rFonts w:hint="eastAsia"/>
          <w:szCs w:val="21"/>
        </w:rPr>
        <w:t xml:space="preserve">For frequency range spectrum utilization and channel arrangement IAB specification will refer to TS38.104. </w:t>
      </w:r>
    </w:p>
    <w:p w:rsidR="00981A13" w:rsidRDefault="00981A13" w:rsidP="00E17BEB">
      <w:pPr>
        <w:rPr>
          <w:szCs w:val="21"/>
        </w:rPr>
      </w:pPr>
    </w:p>
    <w:p w:rsidR="00981A13" w:rsidRPr="00981A13" w:rsidRDefault="00981A13" w:rsidP="00E17BEB">
      <w:pPr>
        <w:rPr>
          <w:b/>
          <w:szCs w:val="21"/>
        </w:rPr>
      </w:pPr>
      <w:r w:rsidRPr="00981A13">
        <w:rPr>
          <w:rFonts w:hint="eastAsia"/>
          <w:b/>
          <w:szCs w:val="21"/>
        </w:rPr>
        <w:t xml:space="preserve">RB alignment </w:t>
      </w:r>
    </w:p>
    <w:p w:rsidR="00B321CE" w:rsidRDefault="00B321CE" w:rsidP="00B321CE">
      <w:pPr>
        <w:ind w:left="1800"/>
        <w:rPr>
          <w:szCs w:val="21"/>
        </w:rPr>
      </w:pPr>
      <w:r>
        <w:rPr>
          <w:rFonts w:hint="eastAsia"/>
          <w:szCs w:val="21"/>
        </w:rPr>
        <w:t xml:space="preserve">   </w:t>
      </w:r>
      <w:r w:rsidR="001069C5">
        <w:rPr>
          <w:noProof/>
        </w:rPr>
        <w:drawing>
          <wp:inline distT="0" distB="0" distL="0" distR="0" wp14:anchorId="4FD32C6C" wp14:editId="2EB99EDD">
            <wp:extent cx="2692195" cy="18345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93110" cy="1835212"/>
                    </a:xfrm>
                    <a:prstGeom prst="rect">
                      <a:avLst/>
                    </a:prstGeom>
                  </pic:spPr>
                </pic:pic>
              </a:graphicData>
            </a:graphic>
          </wp:inline>
        </w:drawing>
      </w:r>
    </w:p>
    <w:p w:rsidR="00E5014D" w:rsidRDefault="00E5014D" w:rsidP="00E5014D">
      <w:pPr>
        <w:rPr>
          <w:szCs w:val="21"/>
        </w:rPr>
      </w:pPr>
      <w:r>
        <w:rPr>
          <w:rFonts w:hint="eastAsia"/>
          <w:szCs w:val="21"/>
        </w:rPr>
        <w:t>For this parameter the definition</w:t>
      </w:r>
      <w:r w:rsidR="00A54F28">
        <w:rPr>
          <w:rFonts w:hint="eastAsia"/>
          <w:szCs w:val="21"/>
        </w:rPr>
        <w:t xml:space="preserve"> of</w:t>
      </w:r>
      <w:r>
        <w:rPr>
          <w:rFonts w:hint="eastAsia"/>
          <w:szCs w:val="21"/>
        </w:rPr>
        <w:t xml:space="preserve"> RB alignment for BS and UE is</w:t>
      </w:r>
      <w:r w:rsidR="00806DC4">
        <w:rPr>
          <w:rFonts w:hint="eastAsia"/>
          <w:szCs w:val="21"/>
        </w:rPr>
        <w:t xml:space="preserve"> slightly</w:t>
      </w:r>
      <w:r>
        <w:rPr>
          <w:rFonts w:hint="eastAsia"/>
          <w:szCs w:val="21"/>
        </w:rPr>
        <w:t xml:space="preserve"> different due to reality of potential </w:t>
      </w:r>
      <w:r>
        <w:rPr>
          <w:szCs w:val="21"/>
        </w:rPr>
        <w:t>difference</w:t>
      </w:r>
      <w:r>
        <w:rPr>
          <w:rFonts w:hint="eastAsia"/>
          <w:szCs w:val="21"/>
        </w:rPr>
        <w:t xml:space="preserve"> between BS channel bandwidth and UE channel bandwidth </w:t>
      </w:r>
      <w:r w:rsidR="001C5ACB">
        <w:rPr>
          <w:rFonts w:hint="eastAsia"/>
          <w:szCs w:val="21"/>
        </w:rPr>
        <w:t xml:space="preserve">according to NR </w:t>
      </w:r>
      <w:r w:rsidR="001C5ACB">
        <w:rPr>
          <w:szCs w:val="21"/>
        </w:rPr>
        <w:t>physical</w:t>
      </w:r>
      <w:r w:rsidR="001C5ACB">
        <w:rPr>
          <w:rFonts w:hint="eastAsia"/>
          <w:szCs w:val="21"/>
        </w:rPr>
        <w:t xml:space="preserve"> layer design. </w:t>
      </w:r>
      <w:r w:rsidR="00806DC4">
        <w:rPr>
          <w:rFonts w:hint="eastAsia"/>
          <w:szCs w:val="21"/>
        </w:rPr>
        <w:t xml:space="preserve">Hence the metric of BS shall be applied for IAB-DU and metric of UE shall be applied for IAB-MT. </w:t>
      </w:r>
      <w:r w:rsidR="00FE0DAC">
        <w:rPr>
          <w:rFonts w:hint="eastAsia"/>
          <w:szCs w:val="21"/>
        </w:rPr>
        <w:t>following</w:t>
      </w:r>
      <w:r w:rsidR="00806DC4">
        <w:rPr>
          <w:rFonts w:hint="eastAsia"/>
          <w:szCs w:val="21"/>
        </w:rPr>
        <w:t xml:space="preserve"> online agreement regarding specification handling, RB</w:t>
      </w:r>
      <w:r w:rsidR="00FE0DAC">
        <w:rPr>
          <w:rFonts w:hint="eastAsia"/>
          <w:szCs w:val="21"/>
        </w:rPr>
        <w:t xml:space="preserve"> alignment for IAB shall be categorized for IAB-DU and IAB-MT respectively with specific section for each. Regarding the open issue on which option shall be selected to draft IAB specification, similar justifications of reference to existing specification can be reused here.</w:t>
      </w:r>
      <w:r w:rsidR="00A54F28">
        <w:rPr>
          <w:rFonts w:hint="eastAsia"/>
          <w:szCs w:val="21"/>
        </w:rPr>
        <w:t xml:space="preserve"> </w:t>
      </w:r>
      <w:r w:rsidR="00A54F28">
        <w:rPr>
          <w:szCs w:val="21"/>
        </w:rPr>
        <w:t>C</w:t>
      </w:r>
      <w:r w:rsidR="00A54F28">
        <w:rPr>
          <w:rFonts w:hint="eastAsia"/>
          <w:szCs w:val="21"/>
        </w:rPr>
        <w:t xml:space="preserve">onsequently, we propose to utilize the option 1 for IAB RB alignment as well. One minor update here is we are fine to FR1 IAB-MT refers to TS38.101-1 and FR2 IAB-MT refers to TS38.101-2 just in case there would be additional FR(s) introduced in the future with different physical layer design even though the </w:t>
      </w:r>
      <w:r w:rsidR="00A54F28">
        <w:rPr>
          <w:szCs w:val="21"/>
        </w:rPr>
        <w:t>possibility</w:t>
      </w:r>
      <w:r w:rsidR="00A54F28">
        <w:rPr>
          <w:rFonts w:hint="eastAsia"/>
          <w:szCs w:val="21"/>
        </w:rPr>
        <w:t xml:space="preserve"> is quite low. </w:t>
      </w:r>
    </w:p>
    <w:p w:rsidR="0035429B" w:rsidRDefault="0035429B" w:rsidP="00E5014D">
      <w:pPr>
        <w:rPr>
          <w:szCs w:val="21"/>
        </w:rPr>
      </w:pPr>
    </w:p>
    <w:p w:rsidR="00806DC4" w:rsidRDefault="00A54F28" w:rsidP="00E5014D">
      <w:pPr>
        <w:rPr>
          <w:szCs w:val="21"/>
        </w:rPr>
      </w:pPr>
      <w:r w:rsidRPr="00621FB0">
        <w:rPr>
          <w:rFonts w:hint="eastAsia"/>
          <w:b/>
          <w:szCs w:val="21"/>
        </w:rPr>
        <w:t xml:space="preserve">Proposal </w:t>
      </w:r>
      <w:r w:rsidR="00621FB0" w:rsidRPr="00621FB0">
        <w:rPr>
          <w:rFonts w:hint="eastAsia"/>
          <w:b/>
          <w:szCs w:val="21"/>
        </w:rPr>
        <w:t>2-1</w:t>
      </w:r>
      <w:r w:rsidR="00621FB0">
        <w:rPr>
          <w:rFonts w:hint="eastAsia"/>
          <w:szCs w:val="21"/>
        </w:rPr>
        <w:t>: For RB alignment requirement, specific section for IAB-MT and IAB-DU shall be introduced in specification.</w:t>
      </w:r>
    </w:p>
    <w:p w:rsidR="00621FB0" w:rsidRDefault="00621FB0" w:rsidP="00E5014D">
      <w:pPr>
        <w:rPr>
          <w:szCs w:val="21"/>
        </w:rPr>
      </w:pPr>
      <w:r w:rsidRPr="00621FB0">
        <w:rPr>
          <w:rFonts w:hint="eastAsia"/>
          <w:b/>
          <w:szCs w:val="21"/>
        </w:rPr>
        <w:t>Proposal 2-2</w:t>
      </w:r>
      <w:r>
        <w:rPr>
          <w:rFonts w:hint="eastAsia"/>
          <w:szCs w:val="21"/>
        </w:rPr>
        <w:t xml:space="preserve">: RB alignment of IAB-MT in IAB </w:t>
      </w:r>
      <w:r>
        <w:rPr>
          <w:szCs w:val="21"/>
        </w:rPr>
        <w:t>specification</w:t>
      </w:r>
      <w:r>
        <w:rPr>
          <w:rFonts w:hint="eastAsia"/>
          <w:szCs w:val="21"/>
        </w:rPr>
        <w:t xml:space="preserve"> shall refer corresponding requirement in TS38.101-1 for FR1 and TS38.101-2 for FR2 respectively.</w:t>
      </w:r>
    </w:p>
    <w:p w:rsidR="00621FB0" w:rsidRPr="00806DC4" w:rsidRDefault="00621FB0" w:rsidP="00E5014D">
      <w:pPr>
        <w:rPr>
          <w:szCs w:val="21"/>
        </w:rPr>
      </w:pPr>
      <w:r w:rsidRPr="00621FB0">
        <w:rPr>
          <w:rFonts w:hint="eastAsia"/>
          <w:b/>
          <w:szCs w:val="21"/>
        </w:rPr>
        <w:t>Proposal 2-3</w:t>
      </w:r>
      <w:r>
        <w:rPr>
          <w:rFonts w:hint="eastAsia"/>
          <w:szCs w:val="21"/>
        </w:rPr>
        <w:t xml:space="preserve">: RB alignment of IAB-DU in IAB specification shall refer corresponding requirement in TS38.104. </w:t>
      </w:r>
    </w:p>
    <w:p w:rsidR="000A167E" w:rsidRDefault="000A167E" w:rsidP="00B321CE">
      <w:pPr>
        <w:ind w:left="2160"/>
        <w:rPr>
          <w:szCs w:val="21"/>
        </w:rPr>
      </w:pPr>
    </w:p>
    <w:p w:rsidR="0035429B" w:rsidRDefault="0035429B" w:rsidP="0035429B">
      <w:pPr>
        <w:rPr>
          <w:szCs w:val="21"/>
        </w:rPr>
      </w:pPr>
    </w:p>
    <w:p w:rsidR="000A167E" w:rsidRPr="000A167E" w:rsidRDefault="000A167E" w:rsidP="000A167E">
      <w:pPr>
        <w:rPr>
          <w:b/>
          <w:szCs w:val="21"/>
        </w:rPr>
      </w:pPr>
      <w:r w:rsidRPr="000A167E">
        <w:rPr>
          <w:rFonts w:hint="eastAsia"/>
          <w:b/>
          <w:szCs w:val="21"/>
        </w:rPr>
        <w:lastRenderedPageBreak/>
        <w:t xml:space="preserve">Channel bandwidth per operating band </w:t>
      </w:r>
    </w:p>
    <w:p w:rsidR="001069C5" w:rsidRDefault="001069C5" w:rsidP="00B321CE">
      <w:pPr>
        <w:ind w:left="2160"/>
        <w:rPr>
          <w:szCs w:val="21"/>
        </w:rPr>
      </w:pPr>
      <w:r>
        <w:rPr>
          <w:noProof/>
        </w:rPr>
        <w:drawing>
          <wp:inline distT="0" distB="0" distL="0" distR="0" wp14:anchorId="1C730741" wp14:editId="2B48FF2A">
            <wp:extent cx="2904135" cy="21528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7324" cy="2155256"/>
                    </a:xfrm>
                    <a:prstGeom prst="rect">
                      <a:avLst/>
                    </a:prstGeom>
                  </pic:spPr>
                </pic:pic>
              </a:graphicData>
            </a:graphic>
          </wp:inline>
        </w:drawing>
      </w:r>
    </w:p>
    <w:p w:rsidR="00F740D5" w:rsidRPr="00C91BE1" w:rsidRDefault="00F740D5" w:rsidP="00F740D5">
      <w:pPr>
        <w:rPr>
          <w:szCs w:val="21"/>
        </w:rPr>
      </w:pPr>
      <w:r>
        <w:rPr>
          <w:rFonts w:hint="eastAsia"/>
          <w:szCs w:val="21"/>
        </w:rPr>
        <w:t xml:space="preserve">For this </w:t>
      </w:r>
      <w:r>
        <w:rPr>
          <w:szCs w:val="21"/>
        </w:rPr>
        <w:t>requirement</w:t>
      </w:r>
      <w:r>
        <w:rPr>
          <w:rFonts w:hint="eastAsia"/>
          <w:szCs w:val="21"/>
        </w:rPr>
        <w:t xml:space="preserve"> as discussed in Chongqing, we slightly prefer to alternative 1 among the options on the table due to potential forward </w:t>
      </w:r>
      <w:r>
        <w:rPr>
          <w:szCs w:val="21"/>
        </w:rPr>
        <w:t>compatibility</w:t>
      </w:r>
      <w:r>
        <w:rPr>
          <w:rFonts w:hint="eastAsia"/>
          <w:szCs w:val="21"/>
        </w:rPr>
        <w:t xml:space="preserve"> issue. Besides that there are additional reasons can be backup of our proposal. </w:t>
      </w:r>
      <w:r>
        <w:rPr>
          <w:szCs w:val="21"/>
        </w:rPr>
        <w:t>F</w:t>
      </w:r>
      <w:r>
        <w:rPr>
          <w:rFonts w:hint="eastAsia"/>
          <w:szCs w:val="21"/>
        </w:rPr>
        <w:t xml:space="preserve">irst of all, </w:t>
      </w:r>
      <w:r w:rsidR="00A065B5">
        <w:rPr>
          <w:rFonts w:hint="eastAsia"/>
          <w:szCs w:val="21"/>
        </w:rPr>
        <w:t xml:space="preserve">as one key discussion point in RRM aspect, to ensure </w:t>
      </w:r>
      <w:r w:rsidR="00A065B5">
        <w:rPr>
          <w:szCs w:val="21"/>
        </w:rPr>
        <w:t>flexibility</w:t>
      </w:r>
      <w:r w:rsidR="00A065B5">
        <w:rPr>
          <w:rFonts w:hint="eastAsia"/>
          <w:szCs w:val="21"/>
        </w:rPr>
        <w:t xml:space="preserve"> of inter-vendor operation, alternative 1 is suggested. </w:t>
      </w:r>
      <w:r w:rsidR="00A065B5">
        <w:rPr>
          <w:szCs w:val="21"/>
        </w:rPr>
        <w:t>I</w:t>
      </w:r>
      <w:r w:rsidR="00A065B5">
        <w:rPr>
          <w:rFonts w:hint="eastAsia"/>
          <w:szCs w:val="21"/>
        </w:rPr>
        <w:t>n addition, the decision on IAB-MT channel b</w:t>
      </w:r>
      <w:r w:rsidR="00A065B5">
        <w:rPr>
          <w:szCs w:val="21"/>
        </w:rPr>
        <w:t>andwidth</w:t>
      </w:r>
      <w:r w:rsidR="00A065B5">
        <w:rPr>
          <w:rFonts w:hint="eastAsia"/>
          <w:szCs w:val="21"/>
        </w:rPr>
        <w:t xml:space="preserve"> per operating band will have </w:t>
      </w:r>
      <w:r w:rsidR="00A065B5">
        <w:rPr>
          <w:szCs w:val="21"/>
        </w:rPr>
        <w:t>impact</w:t>
      </w:r>
      <w:r w:rsidR="00A065B5">
        <w:rPr>
          <w:rFonts w:hint="eastAsia"/>
          <w:szCs w:val="21"/>
        </w:rPr>
        <w:t xml:space="preserve"> on demodulation and RRM test case development. If we go with alternative 2 or alternative 3, the workload on demodulation and RRM test case design would be doubled and redoubled. </w:t>
      </w:r>
    </w:p>
    <w:p w:rsidR="00B66BCE" w:rsidRDefault="00A065B5" w:rsidP="00C62E2E">
      <w:pPr>
        <w:rPr>
          <w:szCs w:val="21"/>
        </w:rPr>
      </w:pPr>
      <w:r w:rsidRPr="00E02989">
        <w:rPr>
          <w:rFonts w:hint="eastAsia"/>
          <w:b/>
          <w:szCs w:val="21"/>
        </w:rPr>
        <w:t>Proposal 3</w:t>
      </w:r>
      <w:r w:rsidR="001808B0">
        <w:rPr>
          <w:rFonts w:hint="eastAsia"/>
          <w:b/>
          <w:szCs w:val="21"/>
        </w:rPr>
        <w:t>-1</w:t>
      </w:r>
      <w:r>
        <w:rPr>
          <w:rFonts w:hint="eastAsia"/>
          <w:szCs w:val="21"/>
        </w:rPr>
        <w:t>:</w:t>
      </w:r>
      <w:r w:rsidR="00E02989">
        <w:rPr>
          <w:rFonts w:hint="eastAsia"/>
          <w:szCs w:val="21"/>
        </w:rPr>
        <w:t xml:space="preserve"> </w:t>
      </w:r>
      <w:r w:rsidR="001808B0">
        <w:rPr>
          <w:rFonts w:hint="eastAsia"/>
          <w:szCs w:val="21"/>
        </w:rPr>
        <w:t>IAB-DU channel bandwidth per operating band will be declaration based as BS.</w:t>
      </w:r>
    </w:p>
    <w:p w:rsidR="001808B0" w:rsidRDefault="001808B0" w:rsidP="00C62E2E">
      <w:pPr>
        <w:rPr>
          <w:szCs w:val="21"/>
        </w:rPr>
      </w:pPr>
      <w:r w:rsidRPr="001808B0">
        <w:rPr>
          <w:rFonts w:hint="eastAsia"/>
          <w:b/>
          <w:szCs w:val="21"/>
        </w:rPr>
        <w:t>Proposal 3-2</w:t>
      </w:r>
      <w:r>
        <w:rPr>
          <w:rFonts w:hint="eastAsia"/>
          <w:szCs w:val="21"/>
        </w:rPr>
        <w:t xml:space="preserve">: IAB-MT will support all mandatory UE channel bandwidth per operating band with optional channel bandwidth depends on it capability. </w:t>
      </w:r>
    </w:p>
    <w:p w:rsidR="00A065B5" w:rsidRDefault="00B66BCE" w:rsidP="00A065B5">
      <w:pPr>
        <w:pStyle w:val="Heading1"/>
        <w:rPr>
          <w:rFonts w:cs="Arial"/>
          <w:lang w:eastAsia="zh-CN"/>
        </w:rPr>
      </w:pPr>
      <w:r>
        <w:rPr>
          <w:rFonts w:hint="eastAsia"/>
          <w:szCs w:val="21"/>
        </w:rPr>
        <w:t xml:space="preserve"> </w:t>
      </w:r>
      <w:r w:rsidR="00A065B5">
        <w:rPr>
          <w:rFonts w:cs="Arial" w:hint="eastAsia"/>
          <w:lang w:eastAsia="zh-CN"/>
        </w:rPr>
        <w:t xml:space="preserve">Conclusion </w:t>
      </w:r>
    </w:p>
    <w:p w:rsidR="00B66BCE" w:rsidRDefault="00E02989" w:rsidP="00A065B5">
      <w:pPr>
        <w:rPr>
          <w:szCs w:val="21"/>
        </w:rPr>
      </w:pPr>
      <w:r>
        <w:rPr>
          <w:rFonts w:hint="eastAsia"/>
          <w:szCs w:val="21"/>
        </w:rPr>
        <w:t>For remaining issues on IAB system parameters, we have follow proposals based on further discussion.</w:t>
      </w:r>
    </w:p>
    <w:p w:rsidR="00E02989" w:rsidRDefault="00E02989" w:rsidP="00E02989">
      <w:pPr>
        <w:rPr>
          <w:szCs w:val="21"/>
        </w:rPr>
      </w:pPr>
      <w:r w:rsidRPr="0035429B">
        <w:rPr>
          <w:rFonts w:hint="eastAsia"/>
          <w:b/>
          <w:szCs w:val="21"/>
        </w:rPr>
        <w:t>Proposal 1</w:t>
      </w:r>
      <w:r>
        <w:rPr>
          <w:rFonts w:hint="eastAsia"/>
          <w:szCs w:val="21"/>
        </w:rPr>
        <w:t xml:space="preserve">: For frequency range spectrum utilization and channel arrangement IAB specification will refer to TS38.104. </w:t>
      </w:r>
    </w:p>
    <w:p w:rsidR="001808B0" w:rsidRDefault="001808B0" w:rsidP="00E02989">
      <w:pPr>
        <w:rPr>
          <w:szCs w:val="21"/>
        </w:rPr>
      </w:pPr>
    </w:p>
    <w:p w:rsidR="00E02989" w:rsidRDefault="00E02989" w:rsidP="00E02989">
      <w:pPr>
        <w:rPr>
          <w:szCs w:val="21"/>
        </w:rPr>
      </w:pPr>
      <w:r w:rsidRPr="00621FB0">
        <w:rPr>
          <w:rFonts w:hint="eastAsia"/>
          <w:b/>
          <w:szCs w:val="21"/>
        </w:rPr>
        <w:t>Proposal 2-1</w:t>
      </w:r>
      <w:r>
        <w:rPr>
          <w:rFonts w:hint="eastAsia"/>
          <w:szCs w:val="21"/>
        </w:rPr>
        <w:t>: For RB alignment requirement, specific section for IAB-MT and IAB-DU shall be introduced in specification.</w:t>
      </w:r>
    </w:p>
    <w:p w:rsidR="00E02989" w:rsidRDefault="00E02989" w:rsidP="00E02989">
      <w:pPr>
        <w:rPr>
          <w:szCs w:val="21"/>
        </w:rPr>
      </w:pPr>
      <w:r w:rsidRPr="00621FB0">
        <w:rPr>
          <w:rFonts w:hint="eastAsia"/>
          <w:b/>
          <w:szCs w:val="21"/>
        </w:rPr>
        <w:t>Proposal 2-2</w:t>
      </w:r>
      <w:r>
        <w:rPr>
          <w:rFonts w:hint="eastAsia"/>
          <w:szCs w:val="21"/>
        </w:rPr>
        <w:t xml:space="preserve">: RB alignment of IAB-MT in IAB </w:t>
      </w:r>
      <w:r>
        <w:rPr>
          <w:szCs w:val="21"/>
        </w:rPr>
        <w:t>specification</w:t>
      </w:r>
      <w:r>
        <w:rPr>
          <w:rFonts w:hint="eastAsia"/>
          <w:szCs w:val="21"/>
        </w:rPr>
        <w:t xml:space="preserve"> shall refer corresponding requirement in TS38.101-1 for FR1 and TS38.101-2 for FR2 respectively.</w:t>
      </w:r>
    </w:p>
    <w:p w:rsidR="00E02989" w:rsidRDefault="00E02989" w:rsidP="00E02989">
      <w:pPr>
        <w:rPr>
          <w:szCs w:val="21"/>
        </w:rPr>
      </w:pPr>
      <w:r w:rsidRPr="00621FB0">
        <w:rPr>
          <w:rFonts w:hint="eastAsia"/>
          <w:b/>
          <w:szCs w:val="21"/>
        </w:rPr>
        <w:t>Proposal 2-3</w:t>
      </w:r>
      <w:r>
        <w:rPr>
          <w:rFonts w:hint="eastAsia"/>
          <w:szCs w:val="21"/>
        </w:rPr>
        <w:t xml:space="preserve">: RB alignment of IAB-DU in IAB specification shall refer corresponding requirement in TS38.104. </w:t>
      </w:r>
    </w:p>
    <w:p w:rsidR="001808B0" w:rsidRPr="00806DC4" w:rsidRDefault="001808B0" w:rsidP="00E02989">
      <w:pPr>
        <w:rPr>
          <w:szCs w:val="21"/>
        </w:rPr>
      </w:pPr>
    </w:p>
    <w:p w:rsidR="001808B0" w:rsidRDefault="001808B0" w:rsidP="001808B0">
      <w:pPr>
        <w:rPr>
          <w:szCs w:val="21"/>
        </w:rPr>
      </w:pPr>
      <w:r w:rsidRPr="00E02989">
        <w:rPr>
          <w:rFonts w:hint="eastAsia"/>
          <w:b/>
          <w:szCs w:val="21"/>
        </w:rPr>
        <w:t>Proposal 3</w:t>
      </w:r>
      <w:r>
        <w:rPr>
          <w:rFonts w:hint="eastAsia"/>
          <w:b/>
          <w:szCs w:val="21"/>
        </w:rPr>
        <w:t>-1</w:t>
      </w:r>
      <w:r>
        <w:rPr>
          <w:rFonts w:hint="eastAsia"/>
          <w:szCs w:val="21"/>
        </w:rPr>
        <w:t>: IAB-DU channel bandwidth per operating band will be declaration based as BS.</w:t>
      </w:r>
    </w:p>
    <w:p w:rsidR="00E02989" w:rsidRPr="001808B0" w:rsidRDefault="001808B0" w:rsidP="00A065B5">
      <w:pPr>
        <w:rPr>
          <w:szCs w:val="21"/>
        </w:rPr>
      </w:pPr>
      <w:r w:rsidRPr="001808B0">
        <w:rPr>
          <w:rFonts w:hint="eastAsia"/>
          <w:b/>
          <w:szCs w:val="21"/>
        </w:rPr>
        <w:t>Proposal 3-2</w:t>
      </w:r>
      <w:r>
        <w:rPr>
          <w:rFonts w:hint="eastAsia"/>
          <w:szCs w:val="21"/>
        </w:rPr>
        <w:t xml:space="preserve">: IAB-MT will support all mandatory UE channel bandwidth per operating band with optional channel bandwidth depends on it capability. </w:t>
      </w:r>
    </w:p>
    <w:p w:rsidR="00E02989" w:rsidRPr="00E02989" w:rsidRDefault="00E02989" w:rsidP="00A065B5">
      <w:pPr>
        <w:rPr>
          <w:szCs w:val="21"/>
        </w:rPr>
      </w:pPr>
      <w:r>
        <w:rPr>
          <w:rFonts w:hint="eastAsia"/>
          <w:szCs w:val="21"/>
        </w:rPr>
        <w:t xml:space="preserve">With this discussion and proposal here, </w:t>
      </w:r>
      <w:r>
        <w:rPr>
          <w:szCs w:val="21"/>
        </w:rPr>
        <w:t>corresponding</w:t>
      </w:r>
      <w:r>
        <w:rPr>
          <w:rFonts w:hint="eastAsia"/>
          <w:szCs w:val="21"/>
        </w:rPr>
        <w:t xml:space="preserve"> TPs are presented in [2</w:t>
      </w:r>
      <w:proofErr w:type="gramStart"/>
      <w:r>
        <w:rPr>
          <w:rFonts w:hint="eastAsia"/>
          <w:szCs w:val="21"/>
        </w:rPr>
        <w:t>][</w:t>
      </w:r>
      <w:proofErr w:type="gramEnd"/>
      <w:r>
        <w:rPr>
          <w:rFonts w:hint="eastAsia"/>
          <w:szCs w:val="21"/>
        </w:rPr>
        <w:t xml:space="preserve">3]. </w:t>
      </w:r>
    </w:p>
    <w:p w:rsidR="004914E1" w:rsidRPr="00E63F56" w:rsidRDefault="000316D6" w:rsidP="00F740D5">
      <w:pPr>
        <w:pStyle w:val="Heading1"/>
        <w:numPr>
          <w:ilvl w:val="0"/>
          <w:numId w:val="0"/>
        </w:numPr>
        <w:ind w:left="432" w:hanging="432"/>
        <w:rPr>
          <w:rFonts w:cs="Arial"/>
          <w:lang w:eastAsia="zh-CN"/>
        </w:rPr>
      </w:pPr>
      <w:r>
        <w:rPr>
          <w:rFonts w:cs="Arial" w:hint="eastAsia"/>
          <w:lang w:eastAsia="zh-CN"/>
        </w:rPr>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 xml:space="preserve">] </w:t>
      </w:r>
      <w:r w:rsidR="00D55643">
        <w:rPr>
          <w:rFonts w:asciiTheme="minorHAnsi" w:hAnsiTheme="minorHAnsi" w:cstheme="minorBidi" w:hint="eastAsia"/>
          <w:b w:val="0"/>
          <w:kern w:val="2"/>
          <w:sz w:val="21"/>
          <w:szCs w:val="22"/>
          <w:lang w:val="en-US" w:eastAsia="zh-CN"/>
        </w:rPr>
        <w:t xml:space="preserve">R4-1912890, </w:t>
      </w:r>
      <w:r w:rsidR="00D55643" w:rsidRPr="00D55643">
        <w:rPr>
          <w:rFonts w:asciiTheme="minorHAnsi" w:hAnsiTheme="minorHAnsi" w:cstheme="minorBidi"/>
          <w:b w:val="0"/>
          <w:kern w:val="2"/>
          <w:sz w:val="21"/>
          <w:szCs w:val="22"/>
          <w:lang w:val="en-US" w:eastAsia="zh-CN"/>
        </w:rPr>
        <w:t>WF on IAB system parameter</w:t>
      </w:r>
    </w:p>
    <w:p w:rsidR="00095E1A" w:rsidRDefault="00095E1A" w:rsidP="00095E1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sidR="00727D64">
        <w:rPr>
          <w:rFonts w:asciiTheme="minorHAnsi" w:hAnsiTheme="minorHAnsi" w:cstheme="minorBidi" w:hint="eastAsia"/>
          <w:b w:val="0"/>
          <w:kern w:val="2"/>
          <w:sz w:val="21"/>
          <w:szCs w:val="22"/>
          <w:lang w:val="en-US" w:eastAsia="zh-CN"/>
        </w:rPr>
        <w:t>2</w:t>
      </w:r>
      <w:r>
        <w:rPr>
          <w:rFonts w:asciiTheme="minorHAnsi" w:hAnsiTheme="minorHAnsi" w:cstheme="minorBidi" w:hint="eastAsia"/>
          <w:b w:val="0"/>
          <w:kern w:val="2"/>
          <w:sz w:val="21"/>
          <w:szCs w:val="22"/>
          <w:lang w:val="en-US" w:eastAsia="zh-CN"/>
        </w:rPr>
        <w:t>]</w:t>
      </w:r>
      <w:r w:rsidR="00D55643">
        <w:rPr>
          <w:rFonts w:asciiTheme="minorHAnsi" w:hAnsiTheme="minorHAnsi" w:cstheme="minorBidi" w:hint="eastAsia"/>
          <w:b w:val="0"/>
          <w:kern w:val="2"/>
          <w:sz w:val="21"/>
          <w:szCs w:val="22"/>
          <w:lang w:val="en-US" w:eastAsia="zh-CN"/>
        </w:rPr>
        <w:t xml:space="preserve"> </w:t>
      </w:r>
      <w:r>
        <w:rPr>
          <w:rFonts w:asciiTheme="minorHAnsi" w:hAnsiTheme="minorHAnsi" w:cstheme="minorBidi" w:hint="eastAsia"/>
          <w:b w:val="0"/>
          <w:kern w:val="2"/>
          <w:sz w:val="21"/>
          <w:szCs w:val="22"/>
          <w:lang w:val="en-US" w:eastAsia="zh-CN"/>
        </w:rPr>
        <w:t>R4-191</w:t>
      </w:r>
      <w:r w:rsidR="00D55643">
        <w:rPr>
          <w:rFonts w:asciiTheme="minorHAnsi" w:hAnsiTheme="minorHAnsi" w:cstheme="minorBidi" w:hint="eastAsia"/>
          <w:b w:val="0"/>
          <w:kern w:val="2"/>
          <w:sz w:val="21"/>
          <w:szCs w:val="22"/>
          <w:lang w:val="en-US" w:eastAsia="zh-CN"/>
        </w:rPr>
        <w:t>xxxxx</w:t>
      </w:r>
      <w:r>
        <w:rPr>
          <w:rFonts w:asciiTheme="minorHAnsi" w:hAnsiTheme="minorHAnsi" w:cstheme="minorBidi" w:hint="eastAsia"/>
          <w:b w:val="0"/>
          <w:kern w:val="2"/>
          <w:sz w:val="21"/>
          <w:szCs w:val="22"/>
          <w:lang w:val="en-US" w:eastAsia="zh-CN"/>
        </w:rPr>
        <w:t>,</w:t>
      </w:r>
      <w:r w:rsidR="00D55643">
        <w:rPr>
          <w:rFonts w:asciiTheme="minorHAnsi" w:hAnsiTheme="minorHAnsi" w:cstheme="minorBidi" w:hint="eastAsia"/>
          <w:b w:val="0"/>
          <w:kern w:val="2"/>
          <w:sz w:val="21"/>
          <w:szCs w:val="22"/>
          <w:lang w:val="en-US" w:eastAsia="zh-CN"/>
        </w:rPr>
        <w:t xml:space="preserve"> TP for TS38.174 on IAB system parameter</w:t>
      </w:r>
    </w:p>
    <w:p w:rsidR="00D55643" w:rsidRDefault="00D55643" w:rsidP="00095E1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lastRenderedPageBreak/>
        <w:t>[3] R4-191xxxx, TP for TR</w:t>
      </w:r>
      <w:bookmarkStart w:id="0" w:name="_GoBack"/>
      <w:bookmarkEnd w:id="0"/>
      <w:r>
        <w:rPr>
          <w:rFonts w:asciiTheme="minorHAnsi" w:hAnsiTheme="minorHAnsi" w:cstheme="minorBidi" w:hint="eastAsia"/>
          <w:b w:val="0"/>
          <w:kern w:val="2"/>
          <w:sz w:val="21"/>
          <w:szCs w:val="22"/>
          <w:lang w:val="en-US" w:eastAsia="zh-CN"/>
        </w:rPr>
        <w:t xml:space="preserve"> on IAB system parameter </w:t>
      </w:r>
    </w:p>
    <w:p w:rsidR="00A544BA" w:rsidRPr="00095E1A" w:rsidRDefault="00A544BA" w:rsidP="004914E1">
      <w:pPr>
        <w:pStyle w:val="ZT"/>
        <w:framePr w:wrap="auto" w:hAnchor="text" w:yAlign="inline"/>
        <w:ind w:right="420"/>
        <w:jc w:val="both"/>
        <w:rPr>
          <w:rFonts w:asciiTheme="minorHAnsi" w:hAnsiTheme="minorHAnsi" w:cstheme="minorBidi"/>
          <w:b w:val="0"/>
          <w:kern w:val="2"/>
          <w:sz w:val="21"/>
          <w:szCs w:val="22"/>
          <w:lang w:val="en-US" w:eastAsia="zh-CN"/>
        </w:rPr>
      </w:pPr>
    </w:p>
    <w:sectPr w:rsidR="00A544BA"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CAB" w:rsidRDefault="00524CAB" w:rsidP="00FF76F4">
      <w:r>
        <w:separator/>
      </w:r>
    </w:p>
  </w:endnote>
  <w:endnote w:type="continuationSeparator" w:id="0">
    <w:p w:rsidR="00524CAB" w:rsidRDefault="00524CAB"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CAB" w:rsidRDefault="00524CAB" w:rsidP="00FF76F4">
      <w:r>
        <w:separator/>
      </w:r>
    </w:p>
  </w:footnote>
  <w:footnote w:type="continuationSeparator" w:id="0">
    <w:p w:rsidR="00524CAB" w:rsidRDefault="00524CAB"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2">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4">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6"/>
  </w:num>
  <w:num w:numId="4">
    <w:abstractNumId w:val="10"/>
  </w:num>
  <w:num w:numId="5">
    <w:abstractNumId w:val="22"/>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5"/>
  </w:num>
  <w:num w:numId="9">
    <w:abstractNumId w:val="2"/>
  </w:num>
  <w:num w:numId="10">
    <w:abstractNumId w:val="28"/>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4"/>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29"/>
  </w:num>
  <w:num w:numId="26">
    <w:abstractNumId w:val="1"/>
  </w:num>
  <w:num w:numId="27">
    <w:abstractNumId w:val="21"/>
  </w:num>
  <w:num w:numId="28">
    <w:abstractNumId w:val="26"/>
  </w:num>
  <w:num w:numId="29">
    <w:abstractNumId w:val="13"/>
  </w:num>
  <w:num w:numId="30">
    <w:abstractNumId w:val="27"/>
    <w:lvlOverride w:ilvl="0">
      <w:startOverride w:val="2"/>
    </w:lvlOverride>
  </w:num>
  <w:num w:numId="31">
    <w:abstractNumId w:val="27"/>
    <w:lvlOverride w:ilvl="0">
      <w:startOverride w:val="4"/>
    </w:lvlOverride>
  </w:num>
  <w:num w:numId="32">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708E3"/>
    <w:rsid w:val="00070B32"/>
    <w:rsid w:val="000718E9"/>
    <w:rsid w:val="000729C9"/>
    <w:rsid w:val="00073211"/>
    <w:rsid w:val="00081033"/>
    <w:rsid w:val="0008319D"/>
    <w:rsid w:val="00086E14"/>
    <w:rsid w:val="0009033A"/>
    <w:rsid w:val="0009104B"/>
    <w:rsid w:val="00095E1A"/>
    <w:rsid w:val="000A13E0"/>
    <w:rsid w:val="000A167E"/>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2A9E"/>
    <w:rsid w:val="001069C5"/>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667B"/>
    <w:rsid w:val="00162691"/>
    <w:rsid w:val="0016328B"/>
    <w:rsid w:val="0017034F"/>
    <w:rsid w:val="00170B06"/>
    <w:rsid w:val="00172664"/>
    <w:rsid w:val="00173E9D"/>
    <w:rsid w:val="001754C2"/>
    <w:rsid w:val="0017557C"/>
    <w:rsid w:val="00175ACA"/>
    <w:rsid w:val="001808B0"/>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ACB"/>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6E04"/>
    <w:rsid w:val="002671F3"/>
    <w:rsid w:val="00267AAF"/>
    <w:rsid w:val="00271B14"/>
    <w:rsid w:val="0027316B"/>
    <w:rsid w:val="00273BEE"/>
    <w:rsid w:val="002741FD"/>
    <w:rsid w:val="00277496"/>
    <w:rsid w:val="00281E20"/>
    <w:rsid w:val="00285A74"/>
    <w:rsid w:val="00286C6A"/>
    <w:rsid w:val="00294C44"/>
    <w:rsid w:val="00295175"/>
    <w:rsid w:val="002971D6"/>
    <w:rsid w:val="00297965"/>
    <w:rsid w:val="002A0C18"/>
    <w:rsid w:val="002A5A60"/>
    <w:rsid w:val="002A727E"/>
    <w:rsid w:val="002B0953"/>
    <w:rsid w:val="002B1265"/>
    <w:rsid w:val="002B4C48"/>
    <w:rsid w:val="002C22C2"/>
    <w:rsid w:val="002C2435"/>
    <w:rsid w:val="002C333F"/>
    <w:rsid w:val="002C7731"/>
    <w:rsid w:val="002C7C95"/>
    <w:rsid w:val="002D33BF"/>
    <w:rsid w:val="002D6806"/>
    <w:rsid w:val="002E0E33"/>
    <w:rsid w:val="002E2FCA"/>
    <w:rsid w:val="002E4E27"/>
    <w:rsid w:val="002F0731"/>
    <w:rsid w:val="002F1435"/>
    <w:rsid w:val="002F4833"/>
    <w:rsid w:val="003029C2"/>
    <w:rsid w:val="00303031"/>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B38"/>
    <w:rsid w:val="0035429B"/>
    <w:rsid w:val="003603A3"/>
    <w:rsid w:val="00360C89"/>
    <w:rsid w:val="0036113D"/>
    <w:rsid w:val="00362264"/>
    <w:rsid w:val="003623DE"/>
    <w:rsid w:val="00362F87"/>
    <w:rsid w:val="00364D91"/>
    <w:rsid w:val="00365680"/>
    <w:rsid w:val="00366254"/>
    <w:rsid w:val="00370375"/>
    <w:rsid w:val="00370AEB"/>
    <w:rsid w:val="0037169F"/>
    <w:rsid w:val="003730E8"/>
    <w:rsid w:val="00373C16"/>
    <w:rsid w:val="00375EE0"/>
    <w:rsid w:val="003933B7"/>
    <w:rsid w:val="00394462"/>
    <w:rsid w:val="00396A44"/>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0B61"/>
    <w:rsid w:val="003F1336"/>
    <w:rsid w:val="003F2522"/>
    <w:rsid w:val="003F3D0A"/>
    <w:rsid w:val="003F6833"/>
    <w:rsid w:val="00402FB6"/>
    <w:rsid w:val="004049D7"/>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F41"/>
    <w:rsid w:val="00456040"/>
    <w:rsid w:val="00457F78"/>
    <w:rsid w:val="00460F58"/>
    <w:rsid w:val="00461C52"/>
    <w:rsid w:val="00463740"/>
    <w:rsid w:val="00464581"/>
    <w:rsid w:val="00471EE8"/>
    <w:rsid w:val="0047586E"/>
    <w:rsid w:val="00475927"/>
    <w:rsid w:val="00486410"/>
    <w:rsid w:val="004870CC"/>
    <w:rsid w:val="00490806"/>
    <w:rsid w:val="004914E1"/>
    <w:rsid w:val="00495BB4"/>
    <w:rsid w:val="00497B60"/>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CF3"/>
    <w:rsid w:val="005246CB"/>
    <w:rsid w:val="00524CAB"/>
    <w:rsid w:val="00531509"/>
    <w:rsid w:val="005346DE"/>
    <w:rsid w:val="005359F4"/>
    <w:rsid w:val="00535B49"/>
    <w:rsid w:val="00536D9A"/>
    <w:rsid w:val="00536FFB"/>
    <w:rsid w:val="00537A2F"/>
    <w:rsid w:val="005518A8"/>
    <w:rsid w:val="00552DB0"/>
    <w:rsid w:val="005542D3"/>
    <w:rsid w:val="00554E7B"/>
    <w:rsid w:val="00561EED"/>
    <w:rsid w:val="005649B4"/>
    <w:rsid w:val="00571F43"/>
    <w:rsid w:val="005722AC"/>
    <w:rsid w:val="00577E33"/>
    <w:rsid w:val="00581D9D"/>
    <w:rsid w:val="005823E1"/>
    <w:rsid w:val="00582F35"/>
    <w:rsid w:val="005855BE"/>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2128"/>
    <w:rsid w:val="005E3919"/>
    <w:rsid w:val="005E5C3A"/>
    <w:rsid w:val="005E6211"/>
    <w:rsid w:val="005E76A8"/>
    <w:rsid w:val="005F01DD"/>
    <w:rsid w:val="005F3D83"/>
    <w:rsid w:val="00600417"/>
    <w:rsid w:val="00602538"/>
    <w:rsid w:val="006060F6"/>
    <w:rsid w:val="0061075C"/>
    <w:rsid w:val="006126A1"/>
    <w:rsid w:val="0061298D"/>
    <w:rsid w:val="00614E6E"/>
    <w:rsid w:val="00616368"/>
    <w:rsid w:val="0061765F"/>
    <w:rsid w:val="00617A8C"/>
    <w:rsid w:val="00620683"/>
    <w:rsid w:val="00621FB0"/>
    <w:rsid w:val="006240DC"/>
    <w:rsid w:val="0062510F"/>
    <w:rsid w:val="00625531"/>
    <w:rsid w:val="00627F5C"/>
    <w:rsid w:val="00633715"/>
    <w:rsid w:val="006340A9"/>
    <w:rsid w:val="00641DC3"/>
    <w:rsid w:val="00642D16"/>
    <w:rsid w:val="006454BA"/>
    <w:rsid w:val="00650803"/>
    <w:rsid w:val="006557EE"/>
    <w:rsid w:val="00655C68"/>
    <w:rsid w:val="00657398"/>
    <w:rsid w:val="00661789"/>
    <w:rsid w:val="00666CF0"/>
    <w:rsid w:val="00672ACC"/>
    <w:rsid w:val="0068271C"/>
    <w:rsid w:val="00683FE1"/>
    <w:rsid w:val="00690C08"/>
    <w:rsid w:val="00691B0B"/>
    <w:rsid w:val="00693E39"/>
    <w:rsid w:val="00694C72"/>
    <w:rsid w:val="00696AA9"/>
    <w:rsid w:val="006A031A"/>
    <w:rsid w:val="006A2402"/>
    <w:rsid w:val="006A262E"/>
    <w:rsid w:val="006A3761"/>
    <w:rsid w:val="006A4700"/>
    <w:rsid w:val="006A55C5"/>
    <w:rsid w:val="006A64AE"/>
    <w:rsid w:val="006B0979"/>
    <w:rsid w:val="006B1ECD"/>
    <w:rsid w:val="006B4DDE"/>
    <w:rsid w:val="006C03E8"/>
    <w:rsid w:val="006C0DD2"/>
    <w:rsid w:val="006C2A6A"/>
    <w:rsid w:val="006C4F30"/>
    <w:rsid w:val="006C6724"/>
    <w:rsid w:val="006C6C7A"/>
    <w:rsid w:val="006C7868"/>
    <w:rsid w:val="006F1D96"/>
    <w:rsid w:val="006F2A8B"/>
    <w:rsid w:val="006F7042"/>
    <w:rsid w:val="006F762C"/>
    <w:rsid w:val="006F7668"/>
    <w:rsid w:val="00700908"/>
    <w:rsid w:val="00701350"/>
    <w:rsid w:val="00702395"/>
    <w:rsid w:val="0070353D"/>
    <w:rsid w:val="00705546"/>
    <w:rsid w:val="007122B5"/>
    <w:rsid w:val="00712D14"/>
    <w:rsid w:val="0071316C"/>
    <w:rsid w:val="0071351D"/>
    <w:rsid w:val="00713839"/>
    <w:rsid w:val="00714B56"/>
    <w:rsid w:val="00715EF6"/>
    <w:rsid w:val="0072021A"/>
    <w:rsid w:val="0072746D"/>
    <w:rsid w:val="00727D64"/>
    <w:rsid w:val="00731137"/>
    <w:rsid w:val="0073178D"/>
    <w:rsid w:val="00733B09"/>
    <w:rsid w:val="00733EF6"/>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A15A2"/>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598F"/>
    <w:rsid w:val="007F6627"/>
    <w:rsid w:val="00800E96"/>
    <w:rsid w:val="008018A3"/>
    <w:rsid w:val="00803C7D"/>
    <w:rsid w:val="00805C88"/>
    <w:rsid w:val="00806DC4"/>
    <w:rsid w:val="008116DF"/>
    <w:rsid w:val="00812D10"/>
    <w:rsid w:val="008137E4"/>
    <w:rsid w:val="0081547C"/>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BAE"/>
    <w:rsid w:val="008C3FC6"/>
    <w:rsid w:val="008C63DB"/>
    <w:rsid w:val="008D0B7A"/>
    <w:rsid w:val="008D3D9C"/>
    <w:rsid w:val="008D6D06"/>
    <w:rsid w:val="008D7A68"/>
    <w:rsid w:val="008E03E8"/>
    <w:rsid w:val="008E4926"/>
    <w:rsid w:val="008F0575"/>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1A13"/>
    <w:rsid w:val="0098357D"/>
    <w:rsid w:val="00983B68"/>
    <w:rsid w:val="0098779D"/>
    <w:rsid w:val="00992034"/>
    <w:rsid w:val="00994660"/>
    <w:rsid w:val="00994AA9"/>
    <w:rsid w:val="00995D0C"/>
    <w:rsid w:val="009A133B"/>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8CB"/>
    <w:rsid w:val="00A065B5"/>
    <w:rsid w:val="00A075B9"/>
    <w:rsid w:val="00A11879"/>
    <w:rsid w:val="00A134B1"/>
    <w:rsid w:val="00A14EAE"/>
    <w:rsid w:val="00A15B9B"/>
    <w:rsid w:val="00A16244"/>
    <w:rsid w:val="00A21FED"/>
    <w:rsid w:val="00A239BD"/>
    <w:rsid w:val="00A2408E"/>
    <w:rsid w:val="00A26A7B"/>
    <w:rsid w:val="00A450BA"/>
    <w:rsid w:val="00A50C05"/>
    <w:rsid w:val="00A54283"/>
    <w:rsid w:val="00A544BA"/>
    <w:rsid w:val="00A54F28"/>
    <w:rsid w:val="00A55913"/>
    <w:rsid w:val="00A6034F"/>
    <w:rsid w:val="00A6184D"/>
    <w:rsid w:val="00A6191E"/>
    <w:rsid w:val="00A660EB"/>
    <w:rsid w:val="00A66FFF"/>
    <w:rsid w:val="00A71D64"/>
    <w:rsid w:val="00A742B3"/>
    <w:rsid w:val="00A75754"/>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3D0F"/>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E7885"/>
    <w:rsid w:val="00AF23B3"/>
    <w:rsid w:val="00AF3FB5"/>
    <w:rsid w:val="00AF476C"/>
    <w:rsid w:val="00AF5141"/>
    <w:rsid w:val="00AF7A9F"/>
    <w:rsid w:val="00B07908"/>
    <w:rsid w:val="00B1548E"/>
    <w:rsid w:val="00B17149"/>
    <w:rsid w:val="00B17635"/>
    <w:rsid w:val="00B245DB"/>
    <w:rsid w:val="00B24791"/>
    <w:rsid w:val="00B26351"/>
    <w:rsid w:val="00B31802"/>
    <w:rsid w:val="00B321CE"/>
    <w:rsid w:val="00B3419F"/>
    <w:rsid w:val="00B34A8F"/>
    <w:rsid w:val="00B353E2"/>
    <w:rsid w:val="00B411C4"/>
    <w:rsid w:val="00B43072"/>
    <w:rsid w:val="00B45622"/>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775B5"/>
    <w:rsid w:val="00B82A68"/>
    <w:rsid w:val="00B85C20"/>
    <w:rsid w:val="00B864DA"/>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C0177B"/>
    <w:rsid w:val="00C04D38"/>
    <w:rsid w:val="00C0656A"/>
    <w:rsid w:val="00C06CEE"/>
    <w:rsid w:val="00C10BEA"/>
    <w:rsid w:val="00C143D4"/>
    <w:rsid w:val="00C14E08"/>
    <w:rsid w:val="00C16873"/>
    <w:rsid w:val="00C210DA"/>
    <w:rsid w:val="00C222F8"/>
    <w:rsid w:val="00C3115C"/>
    <w:rsid w:val="00C3161B"/>
    <w:rsid w:val="00C32386"/>
    <w:rsid w:val="00C33332"/>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80873"/>
    <w:rsid w:val="00C82508"/>
    <w:rsid w:val="00C82F63"/>
    <w:rsid w:val="00C863E2"/>
    <w:rsid w:val="00C90159"/>
    <w:rsid w:val="00C91BE1"/>
    <w:rsid w:val="00CA3854"/>
    <w:rsid w:val="00CA50A4"/>
    <w:rsid w:val="00CA77A1"/>
    <w:rsid w:val="00CA78E0"/>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E3B"/>
    <w:rsid w:val="00D37907"/>
    <w:rsid w:val="00D448EB"/>
    <w:rsid w:val="00D504ED"/>
    <w:rsid w:val="00D50534"/>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198F"/>
    <w:rsid w:val="00D81E3A"/>
    <w:rsid w:val="00D862CE"/>
    <w:rsid w:val="00D86726"/>
    <w:rsid w:val="00D96071"/>
    <w:rsid w:val="00DA0177"/>
    <w:rsid w:val="00DA02C0"/>
    <w:rsid w:val="00DB0087"/>
    <w:rsid w:val="00DB0397"/>
    <w:rsid w:val="00DB2ABF"/>
    <w:rsid w:val="00DB39FE"/>
    <w:rsid w:val="00DC2482"/>
    <w:rsid w:val="00DC5BDF"/>
    <w:rsid w:val="00DC723A"/>
    <w:rsid w:val="00DD146E"/>
    <w:rsid w:val="00DD1B74"/>
    <w:rsid w:val="00DD1C68"/>
    <w:rsid w:val="00DD2410"/>
    <w:rsid w:val="00DD3229"/>
    <w:rsid w:val="00DD5B6B"/>
    <w:rsid w:val="00DD6C47"/>
    <w:rsid w:val="00DE42FB"/>
    <w:rsid w:val="00DE5895"/>
    <w:rsid w:val="00DE6934"/>
    <w:rsid w:val="00DF01B2"/>
    <w:rsid w:val="00DF0285"/>
    <w:rsid w:val="00DF130F"/>
    <w:rsid w:val="00DF4456"/>
    <w:rsid w:val="00DF582D"/>
    <w:rsid w:val="00E0185E"/>
    <w:rsid w:val="00E0252E"/>
    <w:rsid w:val="00E02989"/>
    <w:rsid w:val="00E02F86"/>
    <w:rsid w:val="00E0745A"/>
    <w:rsid w:val="00E10AEF"/>
    <w:rsid w:val="00E10E03"/>
    <w:rsid w:val="00E12D07"/>
    <w:rsid w:val="00E14F20"/>
    <w:rsid w:val="00E17BEB"/>
    <w:rsid w:val="00E214DE"/>
    <w:rsid w:val="00E2164B"/>
    <w:rsid w:val="00E21F47"/>
    <w:rsid w:val="00E257D2"/>
    <w:rsid w:val="00E25931"/>
    <w:rsid w:val="00E26567"/>
    <w:rsid w:val="00E27507"/>
    <w:rsid w:val="00E306AD"/>
    <w:rsid w:val="00E32368"/>
    <w:rsid w:val="00E36FCE"/>
    <w:rsid w:val="00E5014D"/>
    <w:rsid w:val="00E55E87"/>
    <w:rsid w:val="00E56320"/>
    <w:rsid w:val="00E57036"/>
    <w:rsid w:val="00E63F56"/>
    <w:rsid w:val="00E64D4A"/>
    <w:rsid w:val="00E66C85"/>
    <w:rsid w:val="00E67657"/>
    <w:rsid w:val="00E7101D"/>
    <w:rsid w:val="00E71E6F"/>
    <w:rsid w:val="00E75A88"/>
    <w:rsid w:val="00E7703C"/>
    <w:rsid w:val="00E805E8"/>
    <w:rsid w:val="00E80666"/>
    <w:rsid w:val="00E8159E"/>
    <w:rsid w:val="00E91344"/>
    <w:rsid w:val="00E9380E"/>
    <w:rsid w:val="00EA1BB5"/>
    <w:rsid w:val="00EA34E5"/>
    <w:rsid w:val="00EA5770"/>
    <w:rsid w:val="00EA6377"/>
    <w:rsid w:val="00EB195F"/>
    <w:rsid w:val="00EB2368"/>
    <w:rsid w:val="00EB542F"/>
    <w:rsid w:val="00EB6561"/>
    <w:rsid w:val="00EB725C"/>
    <w:rsid w:val="00EC0AA6"/>
    <w:rsid w:val="00EC122F"/>
    <w:rsid w:val="00EC24AE"/>
    <w:rsid w:val="00ED0977"/>
    <w:rsid w:val="00ED16C6"/>
    <w:rsid w:val="00ED4907"/>
    <w:rsid w:val="00ED648E"/>
    <w:rsid w:val="00ED66D5"/>
    <w:rsid w:val="00EE03AE"/>
    <w:rsid w:val="00EE06EC"/>
    <w:rsid w:val="00EE3D1A"/>
    <w:rsid w:val="00EF1343"/>
    <w:rsid w:val="00EF4439"/>
    <w:rsid w:val="00EF7F93"/>
    <w:rsid w:val="00F0050B"/>
    <w:rsid w:val="00F00811"/>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1A3E"/>
    <w:rsid w:val="00F435E2"/>
    <w:rsid w:val="00F44A88"/>
    <w:rsid w:val="00F5278A"/>
    <w:rsid w:val="00F52891"/>
    <w:rsid w:val="00F52F3B"/>
    <w:rsid w:val="00F54D03"/>
    <w:rsid w:val="00F54DF5"/>
    <w:rsid w:val="00F55C7F"/>
    <w:rsid w:val="00F56353"/>
    <w:rsid w:val="00F625E2"/>
    <w:rsid w:val="00F62AEC"/>
    <w:rsid w:val="00F64028"/>
    <w:rsid w:val="00F64543"/>
    <w:rsid w:val="00F65229"/>
    <w:rsid w:val="00F66A7F"/>
    <w:rsid w:val="00F66B70"/>
    <w:rsid w:val="00F67B14"/>
    <w:rsid w:val="00F705C7"/>
    <w:rsid w:val="00F71A3A"/>
    <w:rsid w:val="00F740D5"/>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C68"/>
    <w:rsid w:val="00FC7C34"/>
    <w:rsid w:val="00FD0D77"/>
    <w:rsid w:val="00FD172C"/>
    <w:rsid w:val="00FD3A8E"/>
    <w:rsid w:val="00FD5645"/>
    <w:rsid w:val="00FE0DAC"/>
    <w:rsid w:val="00FE2BD0"/>
    <w:rsid w:val="00FE4C3B"/>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uiPriority w:val="99"/>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uiPriority w:val="99"/>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uiPriority w:val="99"/>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uiPriority w:val="99"/>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029AE-0343-4A06-A10A-F75366D7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4</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cp:lastModifiedBy>
  <cp:revision>10</cp:revision>
  <cp:lastPrinted>2019-03-25T03:05:00Z</cp:lastPrinted>
  <dcterms:created xsi:type="dcterms:W3CDTF">2019-09-26T06:55:00Z</dcterms:created>
  <dcterms:modified xsi:type="dcterms:W3CDTF">2019-11-08T10:08:00Z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